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512E96" w:rsidRPr="001F57D4" w:rsidTr="00033F79">
        <w:tc>
          <w:tcPr>
            <w:tcW w:w="13856" w:type="dxa"/>
            <w:gridSpan w:val="3"/>
            <w:shd w:val="clear" w:color="auto" w:fill="C2D69B"/>
          </w:tcPr>
          <w:p w:rsidR="00512E96" w:rsidRPr="00512E96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4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</w:tr>
      <w:tr w:rsidR="00ED5A4C" w:rsidRPr="001F57D4" w:rsidTr="00BF3EE8">
        <w:tc>
          <w:tcPr>
            <w:tcW w:w="11194" w:type="dxa"/>
            <w:gridSpan w:val="2"/>
            <w:shd w:val="clear" w:color="auto" w:fill="FFFFFF"/>
          </w:tcPr>
          <w:p w:rsidR="00ED5A4C" w:rsidRPr="001F57D4" w:rsidRDefault="00ED5A4C" w:rsidP="00ED5A4C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ED5A4C" w:rsidRDefault="00ED5A4C" w:rsidP="00ED5A4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ED5A4C" w:rsidRPr="004F4C0E" w:rsidRDefault="00ED5A4C" w:rsidP="00ED5A4C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512E9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12E96" w:rsidRPr="001F57D4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Решенията се взимат и изпълняват в съответствие с правила и нормативна уредба.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512E96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</w:tr>
      <w:tr w:rsidR="00AA5131" w:rsidRPr="001F57D4" w:rsidTr="0098248A">
        <w:tc>
          <w:tcPr>
            <w:tcW w:w="11194" w:type="dxa"/>
            <w:gridSpan w:val="2"/>
          </w:tcPr>
          <w:p w:rsidR="00AA5131" w:rsidRPr="00915794" w:rsidRDefault="00AA5131" w:rsidP="00AA5131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</w:tc>
        <w:tc>
          <w:tcPr>
            <w:tcW w:w="2662" w:type="dxa"/>
          </w:tcPr>
          <w:p w:rsidR="00AA5131" w:rsidRPr="001F57D4" w:rsidRDefault="00AA5131" w:rsidP="00AA5131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Д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2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практики.</w:t>
            </w:r>
          </w:p>
        </w:tc>
      </w:tr>
      <w:tr w:rsidR="003D365B" w:rsidRPr="001F57D4" w:rsidTr="00EB6009">
        <w:tc>
          <w:tcPr>
            <w:tcW w:w="11194" w:type="dxa"/>
            <w:gridSpan w:val="2"/>
          </w:tcPr>
          <w:p w:rsidR="003D365B" w:rsidRPr="001F57D4" w:rsidRDefault="003D365B" w:rsidP="003D365B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</w:tcPr>
          <w:p w:rsidR="003D365B" w:rsidRPr="001F57D4" w:rsidRDefault="003D365B" w:rsidP="003D365B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МД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Налице е процедура за обжалване на решенията, която е широко достъпна и разбираема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.</w:t>
            </w:r>
          </w:p>
        </w:tc>
      </w:tr>
      <w:tr w:rsidR="00AA5131" w:rsidRPr="001F57D4" w:rsidTr="00086119">
        <w:tc>
          <w:tcPr>
            <w:tcW w:w="11194" w:type="dxa"/>
            <w:gridSpan w:val="2"/>
          </w:tcPr>
          <w:p w:rsidR="00AA5131" w:rsidRPr="00915794" w:rsidRDefault="00AA5131" w:rsidP="00AA5131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</w:tc>
        <w:tc>
          <w:tcPr>
            <w:tcW w:w="2662" w:type="dxa"/>
          </w:tcPr>
          <w:p w:rsidR="00AA5131" w:rsidRPr="001F57D4" w:rsidRDefault="00AA5131" w:rsidP="00AA5131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Д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В съответствие с изискванията на закона, опозицията в </w:t>
            </w:r>
            <w:proofErr w:type="spellStart"/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ОбС</w:t>
            </w:r>
            <w:proofErr w:type="spellEnd"/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</w:tr>
      <w:tr w:rsidR="00AA5131" w:rsidRPr="001F57D4" w:rsidTr="002528EF">
        <w:tc>
          <w:tcPr>
            <w:tcW w:w="11194" w:type="dxa"/>
            <w:gridSpan w:val="2"/>
          </w:tcPr>
          <w:p w:rsidR="00AA5131" w:rsidRPr="00915794" w:rsidRDefault="00AA5131" w:rsidP="00AA5131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</w:tc>
        <w:tc>
          <w:tcPr>
            <w:tcW w:w="2662" w:type="dxa"/>
          </w:tcPr>
          <w:p w:rsidR="00AA5131" w:rsidRPr="001F57D4" w:rsidRDefault="00AA5131" w:rsidP="00AA5131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Д</w:t>
            </w:r>
          </w:p>
        </w:tc>
      </w:tr>
      <w:tr w:rsidR="00512E9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12E96" w:rsidRPr="001F57D4" w:rsidRDefault="00512E9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</w:tr>
      <w:tr w:rsidR="00AA5131" w:rsidRPr="001F57D4" w:rsidTr="00535BCE">
        <w:tc>
          <w:tcPr>
            <w:tcW w:w="11194" w:type="dxa"/>
            <w:gridSpan w:val="2"/>
            <w:shd w:val="clear" w:color="auto" w:fill="FFFFFF"/>
          </w:tcPr>
          <w:p w:rsidR="00AA5131" w:rsidRDefault="00AA5131" w:rsidP="00AA5131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  <w:p w:rsidR="00AA5131" w:rsidRPr="00AA5131" w:rsidRDefault="00AA5131" w:rsidP="00AA5131">
            <w:pPr>
              <w:jc w:val="both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 w:rsidRPr="00AA5131"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Представените доказателства информират повече за въпросите, по които гражданите може да искат среща (контакти) с изборните представители, но не дават достатъчно информация как те се осъществяват (гарантират). </w:t>
            </w:r>
          </w:p>
        </w:tc>
        <w:tc>
          <w:tcPr>
            <w:tcW w:w="2662" w:type="dxa"/>
            <w:shd w:val="clear" w:color="auto" w:fill="FFFFFF"/>
          </w:tcPr>
          <w:p w:rsidR="00AA5131" w:rsidRPr="001F57D4" w:rsidRDefault="00AA5131" w:rsidP="00AA5131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Д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512E96" w:rsidRDefault="00512E96" w:rsidP="00512E9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</w:t>
            </w:r>
            <w:proofErr w:type="spellStart"/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ОбС</w:t>
            </w:r>
            <w:proofErr w:type="spellEnd"/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Заседанията на </w:t>
            </w:r>
            <w:proofErr w:type="spellStart"/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ОбС</w:t>
            </w:r>
            <w:proofErr w:type="spellEnd"/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са отворени за обществеността и медиите, а дневният ред и документите са публично достъпни. </w:t>
            </w:r>
          </w:p>
          <w:p w:rsidR="00512E96" w:rsidRPr="00512E96" w:rsidRDefault="00512E9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</w:p>
        </w:tc>
      </w:tr>
      <w:tr w:rsidR="003D365B" w:rsidRPr="001F57D4" w:rsidTr="00D33819">
        <w:tc>
          <w:tcPr>
            <w:tcW w:w="11194" w:type="dxa"/>
            <w:gridSpan w:val="2"/>
            <w:shd w:val="clear" w:color="auto" w:fill="FFFFFF"/>
          </w:tcPr>
          <w:p w:rsidR="003D365B" w:rsidRPr="001F57D4" w:rsidRDefault="003D365B" w:rsidP="003D365B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lastRenderedPageBreak/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3D365B" w:rsidRPr="001F57D4" w:rsidRDefault="003D365B" w:rsidP="003D365B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МД</w:t>
            </w:r>
          </w:p>
        </w:tc>
      </w:tr>
      <w:tr w:rsidR="00512E9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</w:tr>
      <w:tr w:rsidR="003D365B" w:rsidRPr="001F57D4" w:rsidTr="00A87419">
        <w:tc>
          <w:tcPr>
            <w:tcW w:w="11194" w:type="dxa"/>
            <w:gridSpan w:val="2"/>
            <w:shd w:val="clear" w:color="auto" w:fill="FFFFFF"/>
          </w:tcPr>
          <w:p w:rsidR="003D365B" w:rsidRDefault="003D365B" w:rsidP="003D365B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  <w:p w:rsidR="003D365B" w:rsidRPr="003D365B" w:rsidRDefault="003D365B" w:rsidP="003D365B">
            <w:pPr>
              <w:jc w:val="both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 w:rsidRPr="003D365B">
              <w:rPr>
                <w:rFonts w:ascii="Times New Roman" w:eastAsia="Calibri" w:hAnsi="Times New Roman" w:cs="Times New Roman"/>
                <w:i/>
                <w:iCs/>
                <w:lang w:val="bg-BG"/>
              </w:rPr>
              <w:t>Представените доказателства са достатъчни, но оценката на приноса</w:t>
            </w:r>
            <w:r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 на гражданите и изборните представители</w:t>
            </w:r>
            <w:r w:rsidRPr="003D365B"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 не е достатъчно добре обосновано</w:t>
            </w:r>
            <w:r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 в тях -</w:t>
            </w:r>
            <w:r w:rsidRPr="003D365B"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 как се отчита</w:t>
            </w:r>
            <w:r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 (как се взема предвид)</w:t>
            </w:r>
            <w:r w:rsidRPr="003D365B">
              <w:rPr>
                <w:rFonts w:ascii="Times New Roman" w:eastAsia="Calibri" w:hAnsi="Times New Roman" w:cs="Times New Roman"/>
                <w:i/>
                <w:iCs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3D365B" w:rsidRPr="001F57D4" w:rsidRDefault="003D365B" w:rsidP="003D365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Д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Изборните представители показват откритост към медиите, както и готовност да предоставят информация.</w:t>
            </w:r>
          </w:p>
        </w:tc>
      </w:tr>
      <w:tr w:rsidR="00AA5131" w:rsidRPr="001F57D4" w:rsidTr="007E6762">
        <w:tc>
          <w:tcPr>
            <w:tcW w:w="11194" w:type="dxa"/>
            <w:gridSpan w:val="2"/>
            <w:shd w:val="clear" w:color="auto" w:fill="FFFFFF"/>
          </w:tcPr>
          <w:p w:rsidR="00AA5131" w:rsidRPr="00915794" w:rsidRDefault="00AA5131" w:rsidP="00AA5131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AA5131" w:rsidRPr="001F57D4" w:rsidRDefault="00AA5131" w:rsidP="00AA5131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Д</w:t>
            </w:r>
          </w:p>
        </w:tc>
      </w:tr>
      <w:tr w:rsidR="00ED5A4C" w:rsidRPr="001F57D4" w:rsidTr="00ED5A4C">
        <w:tc>
          <w:tcPr>
            <w:tcW w:w="5382" w:type="dxa"/>
            <w:shd w:val="clear" w:color="auto" w:fill="F7CAAC" w:themeFill="accent2" w:themeFillTint="66"/>
          </w:tcPr>
          <w:p w:rsidR="00ED5A4C" w:rsidRPr="001F57D4" w:rsidRDefault="00ED5A4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ED5A4C" w:rsidRPr="001F57D4" w:rsidRDefault="00911398" w:rsidP="0091139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Заверка без резерви (3,25)                                                                           </w:t>
            </w:r>
          </w:p>
        </w:tc>
      </w:tr>
    </w:tbl>
    <w:p w:rsidR="00246FD8" w:rsidRDefault="00246FD8"/>
    <w:sectPr w:rsidR="00246FD8" w:rsidSect="008421C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01C" w:rsidRDefault="0069301C" w:rsidP="00ED5A4C">
      <w:pPr>
        <w:spacing w:after="0" w:line="240" w:lineRule="auto"/>
      </w:pPr>
      <w:r>
        <w:separator/>
      </w:r>
    </w:p>
  </w:endnote>
  <w:endnote w:type="continuationSeparator" w:id="0">
    <w:p w:rsidR="0069301C" w:rsidRDefault="0069301C" w:rsidP="00ED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01C" w:rsidRDefault="0069301C" w:rsidP="00ED5A4C">
      <w:pPr>
        <w:spacing w:after="0" w:line="240" w:lineRule="auto"/>
      </w:pPr>
      <w:r>
        <w:separator/>
      </w:r>
    </w:p>
  </w:footnote>
  <w:footnote w:type="continuationSeparator" w:id="0">
    <w:p w:rsidR="0069301C" w:rsidRDefault="0069301C" w:rsidP="00ED5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5A4C" w:rsidRDefault="00ED5A4C">
    <w:pPr>
      <w:pStyle w:val="Header"/>
    </w:pPr>
  </w:p>
  <w:p w:rsidR="00ED5A4C" w:rsidRPr="00ED5A4C" w:rsidRDefault="00ED5A4C" w:rsidP="00ED5A4C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 w:cs="Times New Roman"/>
        <w:b/>
        <w:sz w:val="24"/>
        <w:szCs w:val="24"/>
      </w:rPr>
    </w:pPr>
    <w:r w:rsidRPr="00ED5A4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4</w:t>
    </w:r>
  </w:p>
  <w:p w:rsidR="00ED5A4C" w:rsidRDefault="00ED5A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1C1"/>
    <w:rsid w:val="001C1C76"/>
    <w:rsid w:val="00246FD8"/>
    <w:rsid w:val="00365A2E"/>
    <w:rsid w:val="003D365B"/>
    <w:rsid w:val="00430113"/>
    <w:rsid w:val="00512E96"/>
    <w:rsid w:val="006629F6"/>
    <w:rsid w:val="0069301C"/>
    <w:rsid w:val="008421C1"/>
    <w:rsid w:val="00911398"/>
    <w:rsid w:val="00AA5131"/>
    <w:rsid w:val="00CE640D"/>
    <w:rsid w:val="00ED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5AA90F-910A-49BD-ADD7-A2CB1AF3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2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A4C"/>
  </w:style>
  <w:style w:type="paragraph" w:styleId="Footer">
    <w:name w:val="footer"/>
    <w:basedOn w:val="Normal"/>
    <w:link w:val="FooterChar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Йордан Ботев</cp:lastModifiedBy>
  <cp:revision>2</cp:revision>
  <dcterms:created xsi:type="dcterms:W3CDTF">2020-07-18T14:11:00Z</dcterms:created>
  <dcterms:modified xsi:type="dcterms:W3CDTF">2020-07-18T14:11:00Z</dcterms:modified>
</cp:coreProperties>
</file>